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E5CC1" w14:textId="71370A75" w:rsidR="005E3FDC" w:rsidRPr="00652C16" w:rsidRDefault="005E3FDC" w:rsidP="005E3FDC">
      <w:pPr>
        <w:pStyle w:val="3GPPHeader"/>
        <w:spacing w:after="60"/>
        <w:rPr>
          <w:rFonts w:cs="Arial"/>
          <w:sz w:val="32"/>
          <w:szCs w:val="32"/>
          <w:highlight w:val="yellow"/>
          <w:lang w:val="en-US"/>
        </w:rPr>
      </w:pPr>
      <w:bookmarkStart w:id="0" w:name="_Hlk512852793"/>
      <w:bookmarkStart w:id="1" w:name="_Hlk525228071"/>
      <w:r w:rsidRPr="00FF7489">
        <w:rPr>
          <w:rFonts w:cs="Arial"/>
          <w:lang w:val="en-US"/>
        </w:rPr>
        <w:t>3GPP TSG-RAN WG2 #</w:t>
      </w:r>
      <w:r>
        <w:rPr>
          <w:rFonts w:cs="Arial"/>
          <w:lang w:val="en-US"/>
        </w:rPr>
        <w:t>107</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Pr="00917760">
        <w:rPr>
          <w:rFonts w:cs="Arial"/>
          <w:sz w:val="32"/>
          <w:szCs w:val="32"/>
          <w:lang w:val="en-US"/>
        </w:rPr>
        <w:t>R2-</w:t>
      </w:r>
      <w:r w:rsidR="00FA3E43">
        <w:rPr>
          <w:rFonts w:cs="Arial"/>
          <w:sz w:val="32"/>
          <w:szCs w:val="32"/>
          <w:lang w:val="en-US"/>
        </w:rPr>
        <w:t>1910302</w:t>
      </w:r>
    </w:p>
    <w:bookmarkEnd w:id="0"/>
    <w:p w14:paraId="6B794881" w14:textId="77777777" w:rsidR="005E3FDC" w:rsidRPr="007A6B98" w:rsidRDefault="005E3FDC" w:rsidP="005E3FDC">
      <w:pPr>
        <w:pStyle w:val="CRCoverPage"/>
        <w:outlineLvl w:val="0"/>
        <w:rPr>
          <w:rFonts w:cs="Arial"/>
          <w:b/>
          <w:noProof/>
          <w:sz w:val="24"/>
        </w:rPr>
      </w:pPr>
      <w:r>
        <w:rPr>
          <w:rFonts w:cs="Arial"/>
          <w:b/>
          <w:noProof/>
          <w:sz w:val="24"/>
          <w:lang w:eastAsia="zh-CN"/>
        </w:rPr>
        <w:t>Prague</w:t>
      </w:r>
      <w:r w:rsidRPr="007A6B98">
        <w:rPr>
          <w:rFonts w:cs="Arial"/>
          <w:b/>
          <w:noProof/>
          <w:sz w:val="24"/>
        </w:rPr>
        <w:t xml:space="preserve">, </w:t>
      </w:r>
      <w:r w:rsidRPr="00F93646">
        <w:rPr>
          <w:rFonts w:cs="Arial"/>
          <w:b/>
          <w:noProof/>
          <w:sz w:val="24"/>
        </w:rPr>
        <w:t>Czech Republic</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lang w:val="en-US"/>
        </w:rPr>
        <w:t>August</w:t>
      </w:r>
      <w:r w:rsidRPr="007A6B98">
        <w:rPr>
          <w:rFonts w:cs="Arial"/>
          <w:b/>
          <w:noProof/>
          <w:sz w:val="24"/>
        </w:rPr>
        <w:t xml:space="preserve"> 2019</w:t>
      </w:r>
    </w:p>
    <w:p w14:paraId="7AF55783" w14:textId="77777777" w:rsidR="00E05103" w:rsidRPr="00354B8A" w:rsidRDefault="00E05103" w:rsidP="00E05103">
      <w:pPr>
        <w:pStyle w:val="3GPPHeader"/>
      </w:pPr>
    </w:p>
    <w:p w14:paraId="312B44BC" w14:textId="1A895959" w:rsidR="00E05103" w:rsidRPr="001F3E65" w:rsidRDefault="00E05103" w:rsidP="00E05103">
      <w:pPr>
        <w:pStyle w:val="3GPPHeader"/>
        <w:rPr>
          <w:sz w:val="22"/>
          <w:szCs w:val="22"/>
          <w:lang w:val="en-US"/>
        </w:rPr>
      </w:pPr>
      <w:r w:rsidRPr="001F3E65">
        <w:rPr>
          <w:sz w:val="22"/>
          <w:szCs w:val="22"/>
          <w:lang w:val="en-US"/>
        </w:rPr>
        <w:t>Agenda Item:</w:t>
      </w:r>
      <w:r w:rsidRPr="001F3E65">
        <w:rPr>
          <w:sz w:val="22"/>
          <w:szCs w:val="22"/>
          <w:lang w:val="en-US"/>
        </w:rPr>
        <w:tab/>
      </w:r>
      <w:r w:rsidR="00D47CD6">
        <w:rPr>
          <w:sz w:val="22"/>
          <w:szCs w:val="22"/>
        </w:rPr>
        <w:t>11.4.4</w:t>
      </w:r>
    </w:p>
    <w:p w14:paraId="63F8BBC8" w14:textId="77777777" w:rsidR="00E05103" w:rsidRPr="00CE0424" w:rsidRDefault="00E05103" w:rsidP="00E05103">
      <w:pPr>
        <w:pStyle w:val="3GPPHeader"/>
        <w:rPr>
          <w:sz w:val="22"/>
          <w:szCs w:val="22"/>
        </w:rPr>
      </w:pPr>
      <w:r>
        <w:rPr>
          <w:sz w:val="22"/>
          <w:szCs w:val="22"/>
        </w:rPr>
        <w:t>Source:</w:t>
      </w:r>
      <w:r w:rsidRPr="00CE0424">
        <w:rPr>
          <w:sz w:val="22"/>
          <w:szCs w:val="22"/>
        </w:rPr>
        <w:tab/>
        <w:t>Ericsson</w:t>
      </w:r>
    </w:p>
    <w:p w14:paraId="5848DF8A" w14:textId="0E973102" w:rsidR="00E05103" w:rsidRPr="00CE0424" w:rsidRDefault="00E05103" w:rsidP="00E05103">
      <w:pPr>
        <w:pStyle w:val="3GPPHeader"/>
        <w:rPr>
          <w:sz w:val="22"/>
          <w:szCs w:val="22"/>
        </w:rPr>
      </w:pPr>
      <w:r>
        <w:rPr>
          <w:sz w:val="22"/>
          <w:szCs w:val="22"/>
        </w:rPr>
        <w:t>Title:</w:t>
      </w:r>
      <w:r w:rsidRPr="00CE0424">
        <w:rPr>
          <w:sz w:val="22"/>
          <w:szCs w:val="22"/>
        </w:rPr>
        <w:tab/>
      </w:r>
      <w:r w:rsidR="00011295">
        <w:rPr>
          <w:sz w:val="22"/>
          <w:szCs w:val="22"/>
        </w:rPr>
        <w:t xml:space="preserve">Resource </w:t>
      </w:r>
      <w:r w:rsidR="00E13825">
        <w:rPr>
          <w:sz w:val="22"/>
          <w:szCs w:val="22"/>
        </w:rPr>
        <w:t>configuration</w:t>
      </w:r>
      <w:r w:rsidR="00011295">
        <w:rPr>
          <w:sz w:val="22"/>
          <w:szCs w:val="22"/>
        </w:rPr>
        <w:t xml:space="preserve"> per validity area</w:t>
      </w:r>
      <w:bookmarkStart w:id="2" w:name="_GoBack"/>
      <w:bookmarkEnd w:id="2"/>
    </w:p>
    <w:p w14:paraId="7EB4A2F2" w14:textId="77777777" w:rsidR="00E05103" w:rsidRPr="00CE0424" w:rsidRDefault="00E05103" w:rsidP="00E05103">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72DC1ABE" w14:textId="77777777" w:rsidR="00E05103" w:rsidRPr="00E32E8E" w:rsidRDefault="00E05103" w:rsidP="00E05103">
      <w:pPr>
        <w:pStyle w:val="Heading1"/>
        <w:overflowPunct/>
        <w:autoSpaceDE/>
        <w:autoSpaceDN/>
        <w:adjustRightInd/>
        <w:textAlignment w:val="auto"/>
      </w:pPr>
      <w:bookmarkStart w:id="3" w:name="_Ref4249439"/>
      <w:r w:rsidRPr="00E32E8E">
        <w:t>Introduction</w:t>
      </w:r>
      <w:bookmarkEnd w:id="3"/>
    </w:p>
    <w:p w14:paraId="00FADC8B" w14:textId="77777777" w:rsidR="00E05103" w:rsidRDefault="00E05103" w:rsidP="00E05103">
      <w:pPr>
        <w:pStyle w:val="BodyText"/>
      </w:pPr>
      <w:bookmarkStart w:id="4" w:name="_Ref490149211"/>
      <w:r>
        <w:t>Performance requirements related to several new V2X scenarios</w:t>
      </w:r>
      <w:r w:rsidRPr="005137E1">
        <w:t xml:space="preserve"> </w:t>
      </w:r>
      <w:r>
        <w:t>have been studied in TR 22.886</w:t>
      </w:r>
      <w:r>
        <w:rPr>
          <w:noProof/>
          <w:lang w:val="en-US"/>
        </w:rPr>
        <w:t xml:space="preserve"> </w:t>
      </w:r>
      <w:r>
        <w:rPr>
          <w:noProof/>
          <w:lang w:val="en-US"/>
        </w:rPr>
        <w:fldChar w:fldCharType="begin"/>
      </w:r>
      <w:r>
        <w:rPr>
          <w:noProof/>
          <w:lang w:val="en-US"/>
        </w:rPr>
        <w:instrText xml:space="preserve"> REF _Ref525215635 \r \h </w:instrText>
      </w:r>
      <w:r>
        <w:rPr>
          <w:noProof/>
          <w:lang w:val="en-US"/>
        </w:rPr>
      </w:r>
      <w:r>
        <w:rPr>
          <w:noProof/>
          <w:lang w:val="en-US"/>
        </w:rPr>
        <w:fldChar w:fldCharType="separate"/>
      </w:r>
      <w:r w:rsidR="001E4873">
        <w:rPr>
          <w:noProof/>
          <w:lang w:val="en-US"/>
        </w:rPr>
        <w:t>[1]</w:t>
      </w:r>
      <w:r>
        <w:rPr>
          <w:noProof/>
          <w:lang w:val="en-US"/>
        </w:rPr>
        <w:fldChar w:fldCharType="end"/>
      </w:r>
      <w:r>
        <w:rPr>
          <w:noProof/>
          <w:lang w:val="en-US"/>
        </w:rPr>
        <w:t xml:space="preserve"> and </w:t>
      </w:r>
      <w:r>
        <w:t>TS 22.186</w:t>
      </w:r>
      <w:r>
        <w:rPr>
          <w:noProof/>
          <w:lang w:val="en-US"/>
        </w:rPr>
        <w:t xml:space="preserve"> </w:t>
      </w:r>
      <w:r>
        <w:rPr>
          <w:noProof/>
          <w:lang w:val="en-US"/>
        </w:rPr>
        <w:fldChar w:fldCharType="begin"/>
      </w:r>
      <w:r>
        <w:rPr>
          <w:noProof/>
          <w:lang w:val="en-US"/>
        </w:rPr>
        <w:instrText xml:space="preserve"> REF _Ref525215643 \r \h </w:instrText>
      </w:r>
      <w:r>
        <w:rPr>
          <w:noProof/>
          <w:lang w:val="en-US"/>
        </w:rPr>
      </w:r>
      <w:r>
        <w:rPr>
          <w:noProof/>
          <w:lang w:val="en-US"/>
        </w:rPr>
        <w:fldChar w:fldCharType="separate"/>
      </w:r>
      <w:r w:rsidR="001E4873">
        <w:rPr>
          <w:noProof/>
          <w:lang w:val="en-US"/>
        </w:rPr>
        <w:t>[2]</w:t>
      </w:r>
      <w:r>
        <w:rPr>
          <w:noProof/>
          <w:lang w:val="en-US"/>
        </w:rPr>
        <w:fldChar w:fldCharType="end"/>
      </w:r>
      <w:r>
        <w:rPr>
          <w:noProof/>
          <w:lang w:val="en-US"/>
        </w:rPr>
        <w:t xml:space="preserve">. </w:t>
      </w:r>
      <w:r>
        <w:t>3GPP system (LTE and NR), including sidelink (SL) interface, is expected to fulfil the required KPIs. Performance requirements for V2X scenarios consider also strict requirements as for instance for the case of platooning, which poses requirements of 10ms end-to-end latency and 99.99% reliability in the scenario of cooperative driving with highest degree of automation (</w:t>
      </w:r>
      <w:r>
        <w:rPr>
          <w:lang w:eastAsia="ko-KR"/>
        </w:rPr>
        <w:t>Table 5.2-1 of TS 22.186 V15.3.0</w:t>
      </w:r>
      <w:r>
        <w:t>). It is also important to note that such requirements should be met for a long period of time, ideally for the whole lifetime of the platoon. Therefore, it is important that for some critical V2X services, such as platoon, cooperative manoeuvre, data/sensor sharing, etc, the resource allocation framework aims at maintaining a certain level of QoS performances across a relatively large area and several cells.</w:t>
      </w:r>
    </w:p>
    <w:p w14:paraId="32EB7B2B" w14:textId="13CEBD72" w:rsidR="00E05103" w:rsidRDefault="00E05103" w:rsidP="00E05103">
      <w:pPr>
        <w:pStyle w:val="Heading1"/>
      </w:pPr>
      <w:bookmarkStart w:id="5" w:name="_Ref525249637"/>
      <w:r w:rsidRPr="00E32E8E">
        <w:t>Discussion</w:t>
      </w:r>
      <w:bookmarkEnd w:id="4"/>
      <w:bookmarkEnd w:id="5"/>
    </w:p>
    <w:p w14:paraId="52D5E362" w14:textId="43F16DFB" w:rsidR="001C420E" w:rsidRDefault="00B7408B" w:rsidP="001C420E">
      <w:r>
        <w:t>A</w:t>
      </w:r>
      <w:r w:rsidR="009419C8">
        <w:t xml:space="preserve">n important aspect to consider regarding V2X scenarios is related to the mobility of UEs. In this case, guaranteeing as stable performance as possible represents an important feature to be fulfilled for the stability of </w:t>
      </w:r>
      <w:r w:rsidR="009419C8" w:rsidRPr="00A609BD">
        <w:t>certain V2X applications</w:t>
      </w:r>
      <w:r w:rsidR="009419C8">
        <w:t>. For instance, considering platooning, it is important that performance</w:t>
      </w:r>
      <w:r w:rsidR="009419C8" w:rsidRPr="00A609BD">
        <w:t>s</w:t>
      </w:r>
      <w:r w:rsidR="009419C8">
        <w:t xml:space="preserve"> are stable while the platoon moves, as drastic changes of performance might involve instabilities such as too quick adaptation of inter-truck distances with possible safety impacts</w:t>
      </w:r>
      <w:r w:rsidR="009419C8" w:rsidRPr="00A609BD">
        <w:t>, and increased fuel consumption</w:t>
      </w:r>
      <w:r w:rsidR="009419C8">
        <w:t xml:space="preserve">. </w:t>
      </w:r>
      <w:r w:rsidR="009419C8" w:rsidRPr="00A609BD">
        <w:t>Having</w:t>
      </w:r>
      <w:r w:rsidR="009419C8">
        <w:t xml:space="preserve"> a stable resource allocation within a certain </w:t>
      </w:r>
      <w:r w:rsidR="009419C8" w:rsidRPr="00A609BD">
        <w:t xml:space="preserve">geographical </w:t>
      </w:r>
      <w:r w:rsidR="009419C8">
        <w:t xml:space="preserve">area </w:t>
      </w:r>
      <w:r w:rsidR="009419C8" w:rsidRPr="00A609BD">
        <w:t>and across several cells, is certainly beneficial to achieve stable performances which will be less affected by mobility procedures, such as handover or cell (re)selection.</w:t>
      </w:r>
    </w:p>
    <w:p w14:paraId="222D7665" w14:textId="2F0347D4" w:rsidR="001C420E" w:rsidRDefault="001C420E" w:rsidP="001C420E">
      <w:pPr>
        <w:pStyle w:val="Observation"/>
      </w:pPr>
      <w:bookmarkStart w:id="6" w:name="_Ref4250173"/>
      <w:r>
        <w:t xml:space="preserve">Experiencing performance as stable as possible in large areas is beneficial for certain V2X </w:t>
      </w:r>
      <w:r w:rsidR="008335A5">
        <w:t>services</w:t>
      </w:r>
      <w:r>
        <w:t>, e.g. platooning.</w:t>
      </w:r>
      <w:bookmarkEnd w:id="6"/>
    </w:p>
    <w:p w14:paraId="2BE76CA1" w14:textId="683F2371" w:rsidR="00B7408B" w:rsidRDefault="00B7408B" w:rsidP="00B7408B">
      <w:pPr>
        <w:pStyle w:val="Observation"/>
        <w:numPr>
          <w:ilvl w:val="0"/>
          <w:numId w:val="0"/>
        </w:numPr>
      </w:pPr>
    </w:p>
    <w:p w14:paraId="593FA6C7" w14:textId="1A509E23" w:rsidR="00B7408B" w:rsidRDefault="00B7408B" w:rsidP="00B7408B">
      <w:r>
        <w:t xml:space="preserve">Note that the current NR framework already allows to configure the UE with a SIB configuration that is valid within a certain validity area. In this way, while moving within the validity area, the UE can keep the configuration, without the need to acquire again the SIB information when doing handover/cell (re)selection. </w:t>
      </w:r>
    </w:p>
    <w:p w14:paraId="7A1C15B4" w14:textId="4D0F42A8" w:rsidR="00320695" w:rsidRDefault="00320695" w:rsidP="00897F6D">
      <w:r>
        <w:t xml:space="preserve">In the last RAN2#105 meeting, the </w:t>
      </w:r>
      <w:r w:rsidR="00B41821">
        <w:t xml:space="preserve">following </w:t>
      </w:r>
      <w:r w:rsidR="00EB4E3D">
        <w:t>was</w:t>
      </w:r>
      <w:r w:rsidR="00B41821">
        <w:t xml:space="preserv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41821" w14:paraId="54793DC4" w14:textId="77777777" w:rsidTr="00B52559">
        <w:tc>
          <w:tcPr>
            <w:tcW w:w="9855" w:type="dxa"/>
            <w:shd w:val="clear" w:color="auto" w:fill="auto"/>
          </w:tcPr>
          <w:p w14:paraId="1E5A6E57" w14:textId="7327634A" w:rsidR="002A34C1" w:rsidRPr="002A34C1" w:rsidRDefault="002A34C1" w:rsidP="002A34C1">
            <w:pPr>
              <w:pStyle w:val="BodyText"/>
            </w:pPr>
            <w:r w:rsidRPr="00B52559">
              <w:rPr>
                <w:highlight w:val="green"/>
              </w:rPr>
              <w:t>Agreements:</w:t>
            </w:r>
          </w:p>
          <w:p w14:paraId="4FB2D701" w14:textId="4A1B8F6F" w:rsidR="008B30B2" w:rsidRPr="002A34C1" w:rsidRDefault="008B30B2" w:rsidP="002A34C1">
            <w:pPr>
              <w:pStyle w:val="BodyText"/>
            </w:pPr>
            <w:r w:rsidRPr="002A34C1">
              <w:t>1-5: Mode-1 resource configuration valid for a given validity area is not captured in NR V2X SI TR.</w:t>
            </w:r>
          </w:p>
          <w:p w14:paraId="4615FC34" w14:textId="7C3AD188" w:rsidR="00B41821" w:rsidRDefault="002A34C1" w:rsidP="002A34C1">
            <w:pPr>
              <w:pStyle w:val="BodyText"/>
            </w:pPr>
            <w:r w:rsidRPr="002A34C1">
              <w:t>1-10: RAN2 supports mode-2 resource configuration for a given validity area where the UE(s) does not need to acquire a new mode-2 resource configuration while moving in the validity area, as least when this configuration is provided by SIB (e.g. to reuse valid area of NR SIB).</w:t>
            </w:r>
          </w:p>
        </w:tc>
      </w:tr>
    </w:tbl>
    <w:p w14:paraId="61AE9337" w14:textId="35853815" w:rsidR="00BC5980" w:rsidRDefault="00E60624" w:rsidP="00E54656">
      <w:pPr>
        <w:pStyle w:val="Observation"/>
        <w:spacing w:before="240"/>
      </w:pPr>
      <w:bookmarkStart w:id="7" w:name="_Ref4250179"/>
      <w:r>
        <w:t xml:space="preserve">Current NR SIB design </w:t>
      </w:r>
      <w:r w:rsidR="003A4451">
        <w:t>can</w:t>
      </w:r>
      <w:r w:rsidR="00E516D2">
        <w:t xml:space="preserve"> already</w:t>
      </w:r>
      <w:r w:rsidR="003A4451">
        <w:t xml:space="preserve"> support </w:t>
      </w:r>
      <w:r w:rsidR="00ED2749">
        <w:t>mode</w:t>
      </w:r>
      <w:r w:rsidR="0029117A">
        <w:t>-</w:t>
      </w:r>
      <w:r w:rsidR="00ED2749">
        <w:t>2 resource</w:t>
      </w:r>
      <w:r w:rsidR="00A73A76">
        <w:t xml:space="preserve"> </w:t>
      </w:r>
      <w:r w:rsidR="00A1103F">
        <w:t>allocation</w:t>
      </w:r>
      <w:r w:rsidR="00A73A76">
        <w:t xml:space="preserve"> for a validity area</w:t>
      </w:r>
      <w:r w:rsidR="002554B2">
        <w:t>, thus no further enhancement is foreseen</w:t>
      </w:r>
      <w:r w:rsidR="00C813B8">
        <w:t>.</w:t>
      </w:r>
      <w:bookmarkEnd w:id="7"/>
    </w:p>
    <w:p w14:paraId="5819502A" w14:textId="66516C6E" w:rsidR="004A43C1" w:rsidRDefault="005125C8" w:rsidP="00897F6D">
      <w:r>
        <w:t>One</w:t>
      </w:r>
      <w:r w:rsidR="00A40A38">
        <w:t xml:space="preserve"> open issue left is whether</w:t>
      </w:r>
      <w:r w:rsidR="001A353E">
        <w:t xml:space="preserve"> </w:t>
      </w:r>
      <w:r>
        <w:t xml:space="preserve">resource </w:t>
      </w:r>
      <w:r w:rsidR="00A1103F">
        <w:t>allocation</w:t>
      </w:r>
      <w:r>
        <w:t xml:space="preserve"> per validity area can be provided by dedicated RRC</w:t>
      </w:r>
      <w:r w:rsidR="00FF79E9">
        <w:t xml:space="preserve"> signalling.</w:t>
      </w:r>
      <w:r w:rsidR="00B514F7">
        <w:t xml:space="preserve"> </w:t>
      </w:r>
      <w:r w:rsidR="0056666E">
        <w:t xml:space="preserve">In our view, </w:t>
      </w:r>
      <w:r w:rsidR="008E7B30">
        <w:t xml:space="preserve">since </w:t>
      </w:r>
      <w:r w:rsidR="0029117A">
        <w:t>it is agreed that dedicated RRC signalling can be used to provide mode-2 resource pool</w:t>
      </w:r>
      <w:r w:rsidR="00FE024A">
        <w:t>,</w:t>
      </w:r>
      <w:r w:rsidR="007A339E">
        <w:t xml:space="preserve"> </w:t>
      </w:r>
      <w:r w:rsidR="001B6C59">
        <w:t xml:space="preserve">it seems </w:t>
      </w:r>
      <w:r w:rsidR="007B342E">
        <w:t>natur</w:t>
      </w:r>
      <w:r w:rsidR="00393488">
        <w:t>al</w:t>
      </w:r>
      <w:r w:rsidR="007B342E">
        <w:t xml:space="preserve">/unharmful to </w:t>
      </w:r>
      <w:r w:rsidR="00905E65">
        <w:t xml:space="preserve">support per validity area configuration as well. </w:t>
      </w:r>
      <w:r w:rsidR="00CE1D0B">
        <w:t xml:space="preserve">For instance, NW </w:t>
      </w:r>
      <w:r w:rsidR="00CE1D0B">
        <w:lastRenderedPageBreak/>
        <w:t>can provide a</w:t>
      </w:r>
      <w:r w:rsidR="00F153BC">
        <w:t>n</w:t>
      </w:r>
      <w:r w:rsidR="00F152FA">
        <w:t xml:space="preserve"> exclusive resource pool for specific UEs</w:t>
      </w:r>
      <w:r w:rsidR="00F153BC">
        <w:t>, e.g. platoon, via RRC signalling</w:t>
      </w:r>
      <w:r w:rsidR="001C39D8">
        <w:t xml:space="preserve">, </w:t>
      </w:r>
      <w:r w:rsidR="00F153BC">
        <w:t xml:space="preserve">and </w:t>
      </w:r>
      <w:r w:rsidR="001C39D8">
        <w:t xml:space="preserve">defining a validity area for such </w:t>
      </w:r>
      <w:r w:rsidR="00503A1B">
        <w:t>resource pool</w:t>
      </w:r>
      <w:r w:rsidR="00464575">
        <w:t>,</w:t>
      </w:r>
      <w:r w:rsidR="00503A1B">
        <w:t xml:space="preserve"> </w:t>
      </w:r>
      <w:r w:rsidR="00464575">
        <w:t>which</w:t>
      </w:r>
      <w:r w:rsidR="00503A1B">
        <w:t xml:space="preserve"> can avoid any </w:t>
      </w:r>
      <w:r w:rsidR="00CC6244">
        <w:t xml:space="preserve">latency/reliability degradation due to handover/cell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91C4F" w14:paraId="2B62D6CE" w14:textId="77777777" w:rsidTr="00B52559">
        <w:tc>
          <w:tcPr>
            <w:tcW w:w="9855" w:type="dxa"/>
            <w:shd w:val="clear" w:color="auto" w:fill="auto"/>
          </w:tcPr>
          <w:p w14:paraId="7BBB7187" w14:textId="3F19F6D3" w:rsidR="00906B4F" w:rsidRPr="00906B4F" w:rsidRDefault="00906B4F" w:rsidP="00A91C4F">
            <w:r w:rsidRPr="00B52559">
              <w:rPr>
                <w:highlight w:val="green"/>
              </w:rPr>
              <w:t>Agreements:</w:t>
            </w:r>
          </w:p>
          <w:p w14:paraId="126E453C" w14:textId="536A9833" w:rsidR="00A91C4F" w:rsidRDefault="00A91C4F" w:rsidP="00897F6D">
            <w:r w:rsidRPr="00906B4F">
              <w:t xml:space="preserve">1-8: The network can provide a pool of resources in which UE autonomously selects sidelink grant for ‘sidelink unicast/groupcast/broadcast’ via dedicated </w:t>
            </w:r>
            <w:proofErr w:type="spellStart"/>
            <w:r w:rsidRPr="00906B4F">
              <w:t>signaling</w:t>
            </w:r>
            <w:proofErr w:type="spellEnd"/>
            <w:r w:rsidRPr="00906B4F">
              <w:t>.</w:t>
            </w:r>
          </w:p>
        </w:tc>
      </w:tr>
    </w:tbl>
    <w:p w14:paraId="6A2D5324" w14:textId="5CB99C83" w:rsidR="00A91C4F" w:rsidRDefault="009E5DDF" w:rsidP="00E54656">
      <w:pPr>
        <w:pStyle w:val="Proposal"/>
        <w:spacing w:before="240"/>
      </w:pPr>
      <w:bookmarkStart w:id="8" w:name="_Ref4250153"/>
      <w:r>
        <w:t xml:space="preserve">Mode-2 resource </w:t>
      </w:r>
      <w:r w:rsidR="00E84B57">
        <w:t>allocation</w:t>
      </w:r>
      <w:r>
        <w:t xml:space="preserve"> provided by </w:t>
      </w:r>
      <w:r w:rsidR="00DC096D">
        <w:t>dedicated RRC signalling</w:t>
      </w:r>
      <w:r w:rsidR="00D3549E">
        <w:t xml:space="preserve"> should</w:t>
      </w:r>
      <w:r w:rsidR="00DC096D">
        <w:t xml:space="preserve"> support per validity area </w:t>
      </w:r>
      <w:r w:rsidR="007374FE">
        <w:t>configuration.</w:t>
      </w:r>
      <w:bookmarkEnd w:id="8"/>
      <w:r w:rsidR="007374FE">
        <w:t xml:space="preserve"> </w:t>
      </w:r>
    </w:p>
    <w:p w14:paraId="19868F63" w14:textId="09806ED7" w:rsidR="00AE70DA" w:rsidRDefault="00AE70DA" w:rsidP="00AE70DA">
      <w:pPr>
        <w:pStyle w:val="Proposal"/>
        <w:numPr>
          <w:ilvl w:val="0"/>
          <w:numId w:val="0"/>
        </w:numPr>
        <w:rPr>
          <w:b w:val="0"/>
        </w:rPr>
      </w:pPr>
      <w:r w:rsidRPr="00AE70DA">
        <w:rPr>
          <w:b w:val="0"/>
        </w:rPr>
        <w:t>For SIB, a parameter</w:t>
      </w:r>
      <w:r>
        <w:rPr>
          <w:b w:val="0"/>
        </w:rPr>
        <w:t xml:space="preserve"> called</w:t>
      </w:r>
      <w:r w:rsidRPr="00AE70DA">
        <w:rPr>
          <w:b w:val="0"/>
        </w:rPr>
        <w:t xml:space="preserve"> “</w:t>
      </w:r>
      <w:proofErr w:type="spellStart"/>
      <w:r w:rsidRPr="00AE70DA">
        <w:rPr>
          <w:b w:val="0"/>
        </w:rPr>
        <w:t>areaScope</w:t>
      </w:r>
      <w:proofErr w:type="spellEnd"/>
      <w:r w:rsidRPr="00AE70DA">
        <w:rPr>
          <w:b w:val="0"/>
        </w:rPr>
        <w:t>” is introduced</w:t>
      </w:r>
      <w:r>
        <w:rPr>
          <w:b w:val="0"/>
        </w:rPr>
        <w:t>,</w:t>
      </w:r>
      <w:r w:rsidRPr="00AE70DA">
        <w:rPr>
          <w:b w:val="0"/>
        </w:rPr>
        <w:t xml:space="preserve"> which Indicates that a SIB is area specific. If the field</w:t>
      </w:r>
      <w:r>
        <w:rPr>
          <w:b w:val="0"/>
        </w:rPr>
        <w:t xml:space="preserve"> </w:t>
      </w:r>
      <w:r w:rsidRPr="00AE70DA">
        <w:rPr>
          <w:b w:val="0"/>
        </w:rPr>
        <w:t>is not present, the SIB is cell specific</w:t>
      </w:r>
      <w:r>
        <w:rPr>
          <w:b w:val="0"/>
        </w:rPr>
        <w:t xml:space="preserve">. </w:t>
      </w:r>
      <w:r w:rsidR="00392DC0">
        <w:rPr>
          <w:b w:val="0"/>
        </w:rPr>
        <w:t>Another pa</w:t>
      </w:r>
      <w:r w:rsidR="00947C62">
        <w:rPr>
          <w:b w:val="0"/>
        </w:rPr>
        <w:t>rameter</w:t>
      </w:r>
      <w:r w:rsidR="00EF3AF4">
        <w:rPr>
          <w:b w:val="0"/>
        </w:rPr>
        <w:t xml:space="preserve"> “</w:t>
      </w:r>
      <w:proofErr w:type="spellStart"/>
      <w:r w:rsidR="00EF3AF4" w:rsidRPr="00976136">
        <w:rPr>
          <w:b w:val="0"/>
          <w:i/>
        </w:rPr>
        <w:t>systemInformationAreaID</w:t>
      </w:r>
      <w:proofErr w:type="spellEnd"/>
      <w:r w:rsidR="00EF3AF4">
        <w:rPr>
          <w:b w:val="0"/>
        </w:rPr>
        <w:t>”</w:t>
      </w:r>
      <w:r w:rsidR="00947C62">
        <w:rPr>
          <w:b w:val="0"/>
        </w:rPr>
        <w:t xml:space="preserve"> </w:t>
      </w:r>
      <w:r w:rsidR="00EF3AF4">
        <w:rPr>
          <w:b w:val="0"/>
        </w:rPr>
        <w:t>i</w:t>
      </w:r>
      <w:r w:rsidR="00392DC0" w:rsidRPr="00392DC0">
        <w:rPr>
          <w:b w:val="0"/>
        </w:rPr>
        <w:t xml:space="preserve">ndicates the system information area that the cell belongs to, if any. The </w:t>
      </w:r>
      <w:proofErr w:type="spellStart"/>
      <w:r w:rsidR="00392DC0" w:rsidRPr="00976136">
        <w:rPr>
          <w:b w:val="0"/>
          <w:i/>
        </w:rPr>
        <w:t>systemInformationAreaID</w:t>
      </w:r>
      <w:proofErr w:type="spellEnd"/>
      <w:r w:rsidR="00392DC0" w:rsidRPr="00392DC0">
        <w:rPr>
          <w:b w:val="0"/>
        </w:rPr>
        <w:t xml:space="preserve"> is unique within a PLMN</w:t>
      </w:r>
      <w:r w:rsidR="00F81030">
        <w:rPr>
          <w:b w:val="0"/>
        </w:rPr>
        <w:t xml:space="preserve">. For </w:t>
      </w:r>
      <w:r w:rsidR="00F81030" w:rsidRPr="00F81030">
        <w:rPr>
          <w:b w:val="0"/>
        </w:rPr>
        <w:t>dedicated RRC signalling</w:t>
      </w:r>
      <w:r w:rsidR="00F81030">
        <w:rPr>
          <w:b w:val="0"/>
        </w:rPr>
        <w:t xml:space="preserve">, similar parameter </w:t>
      </w:r>
      <w:r w:rsidR="00017CAE">
        <w:rPr>
          <w:b w:val="0"/>
        </w:rPr>
        <w:t xml:space="preserve">could be introduced, </w:t>
      </w:r>
      <w:r w:rsidR="008827D6">
        <w:rPr>
          <w:b w:val="0"/>
        </w:rPr>
        <w:t xml:space="preserve">e.g. </w:t>
      </w:r>
      <w:proofErr w:type="spellStart"/>
      <w:r w:rsidR="008827D6" w:rsidRPr="00976136">
        <w:rPr>
          <w:b w:val="0"/>
          <w:i/>
        </w:rPr>
        <w:t>areaScope</w:t>
      </w:r>
      <w:proofErr w:type="spellEnd"/>
      <w:r w:rsidR="008827D6">
        <w:rPr>
          <w:b w:val="0"/>
        </w:rPr>
        <w:t xml:space="preserve"> and </w:t>
      </w:r>
      <w:proofErr w:type="spellStart"/>
      <w:r w:rsidR="008827D6">
        <w:rPr>
          <w:b w:val="0"/>
          <w:i/>
        </w:rPr>
        <w:t>RRC</w:t>
      </w:r>
      <w:r w:rsidR="008827D6" w:rsidRPr="000B2643">
        <w:rPr>
          <w:b w:val="0"/>
          <w:i/>
        </w:rPr>
        <w:t>AreaID</w:t>
      </w:r>
      <w:proofErr w:type="spellEnd"/>
      <w:r w:rsidR="008827D6" w:rsidRPr="00976136">
        <w:rPr>
          <w:b w:val="0"/>
        </w:rPr>
        <w:t>,</w:t>
      </w:r>
      <w:r w:rsidR="008827D6">
        <w:rPr>
          <w:b w:val="0"/>
        </w:rPr>
        <w:t xml:space="preserve"> where</w:t>
      </w:r>
      <w:r w:rsidR="008827D6" w:rsidRPr="008827D6">
        <w:rPr>
          <w:b w:val="0"/>
        </w:rPr>
        <w:t xml:space="preserve"> </w:t>
      </w:r>
      <w:r w:rsidR="008827D6">
        <w:rPr>
          <w:b w:val="0"/>
        </w:rPr>
        <w:t>t</w:t>
      </w:r>
      <w:r w:rsidR="008827D6" w:rsidRPr="00392DC0">
        <w:rPr>
          <w:b w:val="0"/>
        </w:rPr>
        <w:t xml:space="preserve">he </w:t>
      </w:r>
      <w:proofErr w:type="spellStart"/>
      <w:r w:rsidR="008827D6">
        <w:rPr>
          <w:b w:val="0"/>
          <w:i/>
        </w:rPr>
        <w:t>RRC</w:t>
      </w:r>
      <w:r w:rsidR="008827D6" w:rsidRPr="000B2643">
        <w:rPr>
          <w:b w:val="0"/>
          <w:i/>
        </w:rPr>
        <w:t>AreaID</w:t>
      </w:r>
      <w:proofErr w:type="spellEnd"/>
      <w:r w:rsidR="008827D6" w:rsidRPr="00392DC0">
        <w:rPr>
          <w:b w:val="0"/>
        </w:rPr>
        <w:t xml:space="preserve"> is unique </w:t>
      </w:r>
      <w:r w:rsidR="006038B2">
        <w:rPr>
          <w:b w:val="0"/>
        </w:rPr>
        <w:t xml:space="preserve">per </w:t>
      </w:r>
      <w:r w:rsidR="008827D6">
        <w:rPr>
          <w:b w:val="0"/>
        </w:rPr>
        <w:t xml:space="preserve">specific UE. </w:t>
      </w:r>
    </w:p>
    <w:p w14:paraId="3CFEBA79" w14:textId="3EC7B2E3" w:rsidR="00E00267" w:rsidRPr="00DF1393" w:rsidRDefault="00A11A9E" w:rsidP="00E00267">
      <w:pPr>
        <w:pStyle w:val="Proposal"/>
        <w:spacing w:before="240"/>
      </w:pPr>
      <w:r w:rsidRPr="000D7035">
        <w:rPr>
          <w:rFonts w:ascii="DengXian" w:eastAsia="DengXian" w:hAnsi="DengXian" w:hint="eastAsia"/>
        </w:rPr>
        <w:t>The</w:t>
      </w:r>
      <w:r w:rsidR="007C0235" w:rsidRPr="00DF1393">
        <w:t xml:space="preserve"> </w:t>
      </w:r>
      <w:r w:rsidR="00E00267" w:rsidRPr="00DF1393">
        <w:t>dedicated RRC signalling</w:t>
      </w:r>
      <w:r w:rsidR="007C0235" w:rsidRPr="00DF1393">
        <w:t xml:space="preserve"> could include </w:t>
      </w:r>
      <w:proofErr w:type="spellStart"/>
      <w:r w:rsidR="007C0235" w:rsidRPr="00976136">
        <w:rPr>
          <w:i/>
        </w:rPr>
        <w:t>areaScope</w:t>
      </w:r>
      <w:proofErr w:type="spellEnd"/>
      <w:r w:rsidR="007C0235" w:rsidRPr="00976136">
        <w:t xml:space="preserve"> and </w:t>
      </w:r>
      <w:proofErr w:type="spellStart"/>
      <w:r w:rsidR="007C0235" w:rsidRPr="00976136">
        <w:rPr>
          <w:i/>
        </w:rPr>
        <w:t>RRCAreaID</w:t>
      </w:r>
      <w:proofErr w:type="spellEnd"/>
      <w:r w:rsidR="00E00267" w:rsidRPr="00DF1393">
        <w:t xml:space="preserve"> </w:t>
      </w:r>
      <w:r w:rsidR="00D3549E" w:rsidRPr="00DF1393">
        <w:t>to enable</w:t>
      </w:r>
      <w:r w:rsidR="00E00267" w:rsidRPr="00DF1393">
        <w:t xml:space="preserve"> per validity area configuration. </w:t>
      </w:r>
    </w:p>
    <w:p w14:paraId="68A18EBF" w14:textId="0E26884F" w:rsidR="00FE4996" w:rsidRPr="00477A5F" w:rsidRDefault="00FE4996" w:rsidP="00976136">
      <w:pPr>
        <w:pStyle w:val="Proposal"/>
        <w:spacing w:before="240"/>
      </w:pPr>
      <w:r w:rsidRPr="00976136">
        <w:t xml:space="preserve">The </w:t>
      </w:r>
      <w:proofErr w:type="spellStart"/>
      <w:r w:rsidRPr="00976136">
        <w:rPr>
          <w:i/>
        </w:rPr>
        <w:t>RRCAreaID</w:t>
      </w:r>
      <w:proofErr w:type="spellEnd"/>
      <w:r w:rsidRPr="00976136">
        <w:t xml:space="preserve"> is unique </w:t>
      </w:r>
      <w:r w:rsidR="006038B2">
        <w:t>per</w:t>
      </w:r>
      <w:r w:rsidRPr="00976136">
        <w:t xml:space="preserve"> specific UE</w:t>
      </w:r>
      <w:r>
        <w:rPr>
          <w:b w:val="0"/>
        </w:rPr>
        <w:t>.</w:t>
      </w:r>
    </w:p>
    <w:p w14:paraId="0023CFF0" w14:textId="77777777" w:rsidR="00E05103" w:rsidRPr="00E32E8E" w:rsidRDefault="00E05103" w:rsidP="00E05103">
      <w:pPr>
        <w:pStyle w:val="Heading1"/>
        <w:overflowPunct/>
        <w:autoSpaceDE/>
        <w:autoSpaceDN/>
        <w:adjustRightInd/>
        <w:textAlignment w:val="auto"/>
      </w:pPr>
      <w:r w:rsidRPr="00E32E8E">
        <w:t>Conclusions</w:t>
      </w:r>
    </w:p>
    <w:p w14:paraId="78ECD15F" w14:textId="77777777" w:rsidR="00A609BD" w:rsidRDefault="00A609BD" w:rsidP="00A609BD">
      <w:r>
        <w:t xml:space="preserve">In section </w:t>
      </w:r>
      <w:r w:rsidR="00DD596E">
        <w:fldChar w:fldCharType="begin"/>
      </w:r>
      <w:r w:rsidR="00DD596E">
        <w:instrText xml:space="preserve"> REF _Ref525249637 \r \h </w:instrText>
      </w:r>
      <w:r w:rsidR="00DD596E">
        <w:fldChar w:fldCharType="separate"/>
      </w:r>
      <w:r w:rsidR="001E4873">
        <w:t>2</w:t>
      </w:r>
      <w:r w:rsidR="00DD596E">
        <w:fldChar w:fldCharType="end"/>
      </w:r>
      <w:r w:rsidR="00DD596E">
        <w:t xml:space="preserve"> </w:t>
      </w:r>
      <w:r>
        <w:t>we made the following observations:</w:t>
      </w:r>
    </w:p>
    <w:p w14:paraId="0B0F29EA" w14:textId="41CF4846" w:rsidR="003E5788" w:rsidRPr="003E5788" w:rsidRDefault="003E5788" w:rsidP="003E5788">
      <w:pPr>
        <w:pStyle w:val="BodyText"/>
        <w:ind w:left="1440" w:hanging="1440"/>
        <w:rPr>
          <w:b/>
          <w:bCs/>
        </w:rPr>
      </w:pPr>
      <w:r w:rsidRPr="003E5788">
        <w:rPr>
          <w:b/>
          <w:bCs/>
        </w:rPr>
        <w:fldChar w:fldCharType="begin"/>
      </w:r>
      <w:r w:rsidRPr="003E5788">
        <w:rPr>
          <w:b/>
          <w:bCs/>
        </w:rPr>
        <w:instrText xml:space="preserve"> REF _Ref4250173 \w \h  \* MERGEFORMAT </w:instrText>
      </w:r>
      <w:r w:rsidRPr="003E5788">
        <w:rPr>
          <w:b/>
          <w:bCs/>
        </w:rPr>
      </w:r>
      <w:r w:rsidRPr="003E5788">
        <w:rPr>
          <w:b/>
          <w:bCs/>
        </w:rPr>
        <w:fldChar w:fldCharType="separate"/>
      </w:r>
      <w:r w:rsidRPr="003E5788">
        <w:rPr>
          <w:b/>
          <w:bCs/>
        </w:rPr>
        <w:t>Observation 1</w:t>
      </w:r>
      <w:r w:rsidRPr="003E5788">
        <w:rPr>
          <w:b/>
          <w:bCs/>
        </w:rPr>
        <w:fldChar w:fldCharType="end"/>
      </w:r>
      <w:r w:rsidRPr="003E5788">
        <w:rPr>
          <w:b/>
          <w:bCs/>
        </w:rPr>
        <w:tab/>
      </w:r>
      <w:r w:rsidRPr="003E5788">
        <w:rPr>
          <w:b/>
          <w:bCs/>
        </w:rPr>
        <w:fldChar w:fldCharType="begin"/>
      </w:r>
      <w:r w:rsidRPr="003E5788">
        <w:rPr>
          <w:b/>
          <w:bCs/>
        </w:rPr>
        <w:instrText xml:space="preserve"> REF _Ref4250173 \h  \* MERGEFORMAT </w:instrText>
      </w:r>
      <w:r w:rsidRPr="003E5788">
        <w:rPr>
          <w:b/>
          <w:bCs/>
        </w:rPr>
      </w:r>
      <w:r w:rsidRPr="003E5788">
        <w:rPr>
          <w:b/>
          <w:bCs/>
        </w:rPr>
        <w:fldChar w:fldCharType="separate"/>
      </w:r>
      <w:r w:rsidR="006940C8" w:rsidRPr="006940C8">
        <w:rPr>
          <w:b/>
        </w:rPr>
        <w:t>Experiencing performance as stable as possible in large areas is beneficial for certain V2X services, e.g. platooning.</w:t>
      </w:r>
      <w:r w:rsidRPr="003E5788">
        <w:rPr>
          <w:b/>
          <w:bCs/>
        </w:rPr>
        <w:fldChar w:fldCharType="end"/>
      </w:r>
    </w:p>
    <w:p w14:paraId="16EA1EFB" w14:textId="6AAFA54E" w:rsidR="00A609BD" w:rsidRPr="003E5788" w:rsidRDefault="003E5788" w:rsidP="003E5788">
      <w:pPr>
        <w:pStyle w:val="BodyText"/>
        <w:ind w:left="1440" w:hanging="1440"/>
        <w:rPr>
          <w:b/>
          <w:bCs/>
        </w:rPr>
      </w:pPr>
      <w:r w:rsidRPr="003E5788">
        <w:rPr>
          <w:b/>
          <w:bCs/>
        </w:rPr>
        <w:fldChar w:fldCharType="begin"/>
      </w:r>
      <w:r w:rsidRPr="003E5788">
        <w:rPr>
          <w:b/>
          <w:bCs/>
        </w:rPr>
        <w:instrText xml:space="preserve"> REF _Ref4250179 \w \h  \* MERGEFORMAT </w:instrText>
      </w:r>
      <w:r w:rsidRPr="003E5788">
        <w:rPr>
          <w:b/>
          <w:bCs/>
        </w:rPr>
      </w:r>
      <w:r w:rsidRPr="003E5788">
        <w:rPr>
          <w:b/>
          <w:bCs/>
        </w:rPr>
        <w:fldChar w:fldCharType="separate"/>
      </w:r>
      <w:r w:rsidRPr="003E5788">
        <w:rPr>
          <w:b/>
          <w:bCs/>
        </w:rPr>
        <w:t>Observation 2</w:t>
      </w:r>
      <w:r w:rsidRPr="003E5788">
        <w:rPr>
          <w:b/>
          <w:bCs/>
        </w:rPr>
        <w:fldChar w:fldCharType="end"/>
      </w:r>
      <w:r w:rsidRPr="003E5788">
        <w:rPr>
          <w:b/>
          <w:bCs/>
        </w:rPr>
        <w:tab/>
      </w:r>
      <w:r w:rsidRPr="003E5788">
        <w:rPr>
          <w:b/>
          <w:bCs/>
        </w:rPr>
        <w:fldChar w:fldCharType="begin"/>
      </w:r>
      <w:r w:rsidRPr="003E5788">
        <w:rPr>
          <w:b/>
          <w:bCs/>
        </w:rPr>
        <w:instrText xml:space="preserve"> REF _Ref4250179 \h  \* MERGEFORMAT </w:instrText>
      </w:r>
      <w:r w:rsidRPr="003E5788">
        <w:rPr>
          <w:b/>
          <w:bCs/>
        </w:rPr>
      </w:r>
      <w:r w:rsidRPr="003E5788">
        <w:rPr>
          <w:b/>
          <w:bCs/>
        </w:rPr>
        <w:fldChar w:fldCharType="separate"/>
      </w:r>
      <w:r w:rsidR="006940C8" w:rsidRPr="006940C8">
        <w:rPr>
          <w:b/>
        </w:rPr>
        <w:t>Current NR SIB design can already support mode-2 resource allocation for a validity area, thus no further enhancement is foreseen.</w:t>
      </w:r>
      <w:r w:rsidRPr="003E5788">
        <w:rPr>
          <w:b/>
          <w:bCs/>
        </w:rPr>
        <w:fldChar w:fldCharType="end"/>
      </w:r>
    </w:p>
    <w:p w14:paraId="2EB34DAA" w14:textId="77777777" w:rsidR="00A609BD" w:rsidRDefault="00A609BD" w:rsidP="00A609BD">
      <w:r>
        <w:t xml:space="preserve">Based on the discussion in section </w:t>
      </w:r>
      <w:r w:rsidR="005C0762">
        <w:fldChar w:fldCharType="begin"/>
      </w:r>
      <w:r w:rsidR="005C0762">
        <w:instrText xml:space="preserve"> REF _Ref525249637 \r \h </w:instrText>
      </w:r>
      <w:r w:rsidR="005C0762">
        <w:fldChar w:fldCharType="separate"/>
      </w:r>
      <w:r w:rsidR="001E4873">
        <w:t>2</w:t>
      </w:r>
      <w:r w:rsidR="005C0762">
        <w:fldChar w:fldCharType="end"/>
      </w:r>
      <w:r w:rsidR="001F4FAA">
        <w:t xml:space="preserve"> </w:t>
      </w:r>
      <w:r>
        <w:t>we propose the following:</w:t>
      </w:r>
    </w:p>
    <w:p w14:paraId="17E9E7BE" w14:textId="58D93D05" w:rsidR="00E05103" w:rsidRPr="006940C8" w:rsidRDefault="003E5788" w:rsidP="003E5788">
      <w:pPr>
        <w:ind w:left="1440" w:hanging="1440"/>
        <w:rPr>
          <w:rFonts w:ascii="CG Times (WN)" w:eastAsia="DengXian" w:hAnsi="CG Times (WN)"/>
          <w:b/>
          <w:noProof/>
          <w:lang w:val="en-US"/>
        </w:rPr>
      </w:pPr>
      <w:r w:rsidRPr="003E5788">
        <w:rPr>
          <w:rFonts w:ascii="CG Times (WN)" w:eastAsia="DengXian" w:hAnsi="CG Times (WN)"/>
          <w:b/>
          <w:noProof/>
          <w:lang w:val="en-US"/>
        </w:rPr>
        <w:fldChar w:fldCharType="begin"/>
      </w:r>
      <w:r w:rsidRPr="003E5788">
        <w:rPr>
          <w:rFonts w:ascii="CG Times (WN)" w:eastAsia="DengXian" w:hAnsi="CG Times (WN)"/>
          <w:b/>
          <w:noProof/>
          <w:lang w:val="en-US"/>
        </w:rPr>
        <w:instrText xml:space="preserve"> REF _Ref4250153 \w \h </w:instrText>
      </w:r>
      <w:r>
        <w:rPr>
          <w:rFonts w:ascii="CG Times (WN)" w:eastAsia="DengXian" w:hAnsi="CG Times (WN)"/>
          <w:b/>
          <w:noProof/>
          <w:lang w:val="en-US"/>
        </w:rPr>
        <w:instrText xml:space="preserve"> \* MERGEFORMAT </w:instrText>
      </w:r>
      <w:r w:rsidRPr="003E5788">
        <w:rPr>
          <w:rFonts w:ascii="CG Times (WN)" w:eastAsia="DengXian" w:hAnsi="CG Times (WN)"/>
          <w:b/>
          <w:noProof/>
          <w:lang w:val="en-US"/>
        </w:rPr>
      </w:r>
      <w:r w:rsidRPr="003E5788">
        <w:rPr>
          <w:rFonts w:ascii="CG Times (WN)" w:eastAsia="DengXian" w:hAnsi="CG Times (WN)"/>
          <w:b/>
          <w:noProof/>
          <w:lang w:val="en-US"/>
        </w:rPr>
        <w:fldChar w:fldCharType="separate"/>
      </w:r>
      <w:r w:rsidR="00092EBD">
        <w:rPr>
          <w:rFonts w:ascii="CG Times (WN)" w:eastAsia="DengXian" w:hAnsi="CG Times (WN)"/>
          <w:b/>
          <w:noProof/>
          <w:lang w:val="en-US"/>
        </w:rPr>
        <w:t>Proposal 1</w:t>
      </w:r>
      <w:r w:rsidRPr="003E5788">
        <w:rPr>
          <w:rFonts w:ascii="CG Times (WN)" w:eastAsia="DengXian" w:hAnsi="CG Times (WN)"/>
          <w:b/>
          <w:noProof/>
          <w:lang w:val="en-US"/>
        </w:rPr>
        <w:fldChar w:fldCharType="end"/>
      </w:r>
      <w:r w:rsidRPr="006940C8">
        <w:rPr>
          <w:rFonts w:ascii="CG Times (WN)" w:eastAsia="DengXian" w:hAnsi="CG Times (WN)"/>
          <w:b/>
          <w:noProof/>
          <w:lang w:val="en-US"/>
        </w:rPr>
        <w:tab/>
      </w:r>
      <w:r w:rsidRPr="006940C8">
        <w:rPr>
          <w:rFonts w:ascii="CG Times (WN)" w:eastAsia="DengXian" w:hAnsi="CG Times (WN)"/>
          <w:b/>
          <w:noProof/>
          <w:lang w:val="en-US"/>
        </w:rPr>
        <w:fldChar w:fldCharType="begin"/>
      </w:r>
      <w:r w:rsidRPr="006940C8">
        <w:rPr>
          <w:rFonts w:ascii="CG Times (WN)" w:eastAsia="DengXian" w:hAnsi="CG Times (WN)"/>
          <w:b/>
          <w:noProof/>
          <w:lang w:val="en-US"/>
        </w:rPr>
        <w:instrText xml:space="preserve"> REF _Ref4250153 \h  \* MERGEFORMAT </w:instrText>
      </w:r>
      <w:r w:rsidRPr="006940C8">
        <w:rPr>
          <w:rFonts w:ascii="CG Times (WN)" w:eastAsia="DengXian" w:hAnsi="CG Times (WN)"/>
          <w:b/>
          <w:noProof/>
          <w:lang w:val="en-US"/>
        </w:rPr>
      </w:r>
      <w:r w:rsidRPr="006940C8">
        <w:rPr>
          <w:rFonts w:ascii="CG Times (WN)" w:eastAsia="DengXian" w:hAnsi="CG Times (WN)"/>
          <w:b/>
          <w:noProof/>
          <w:lang w:val="en-US"/>
        </w:rPr>
        <w:fldChar w:fldCharType="separate"/>
      </w:r>
      <w:r w:rsidR="006940C8" w:rsidRPr="006940C8">
        <w:rPr>
          <w:b/>
        </w:rPr>
        <w:t>Mode-2 resource allocation provided by dedicated RRC signalling should support per validity area configuration.</w:t>
      </w:r>
      <w:r w:rsidRPr="006940C8">
        <w:rPr>
          <w:rFonts w:ascii="CG Times (WN)" w:eastAsia="DengXian" w:hAnsi="CG Times (WN)"/>
          <w:b/>
          <w:noProof/>
          <w:lang w:val="en-US"/>
        </w:rPr>
        <w:fldChar w:fldCharType="end"/>
      </w:r>
    </w:p>
    <w:p w14:paraId="436D60F9" w14:textId="33DA724F" w:rsidR="00DF1393" w:rsidRPr="006940C8" w:rsidRDefault="00DF1393" w:rsidP="003E5788">
      <w:pPr>
        <w:ind w:left="1440" w:hanging="1440"/>
        <w:rPr>
          <w:rFonts w:ascii="CG Times (WN)" w:eastAsia="DengXian" w:hAnsi="CG Times (WN)"/>
          <w:b/>
          <w:noProof/>
          <w:lang w:val="en-US"/>
        </w:rPr>
      </w:pPr>
      <w:r w:rsidRPr="006940C8">
        <w:rPr>
          <w:rFonts w:ascii="CG Times (WN)" w:eastAsia="DengXian" w:hAnsi="CG Times (WN)"/>
          <w:b/>
          <w:noProof/>
          <w:lang w:val="en-US"/>
        </w:rPr>
        <w:t xml:space="preserve">Proposal 2      </w:t>
      </w:r>
      <w:r w:rsidRPr="006940C8">
        <w:rPr>
          <w:rFonts w:ascii="DengXian" w:eastAsia="DengXian" w:hAnsi="DengXian" w:hint="eastAsia"/>
          <w:b/>
        </w:rPr>
        <w:t>The</w:t>
      </w:r>
      <w:r w:rsidRPr="006940C8">
        <w:rPr>
          <w:b/>
        </w:rPr>
        <w:t xml:space="preserve"> dedicated RRC signalling could include </w:t>
      </w:r>
      <w:proofErr w:type="spellStart"/>
      <w:r w:rsidRPr="006940C8">
        <w:rPr>
          <w:b/>
          <w:i/>
        </w:rPr>
        <w:t>areaScope</w:t>
      </w:r>
      <w:proofErr w:type="spellEnd"/>
      <w:r w:rsidRPr="006940C8">
        <w:rPr>
          <w:b/>
        </w:rPr>
        <w:t xml:space="preserve"> and </w:t>
      </w:r>
      <w:proofErr w:type="spellStart"/>
      <w:r w:rsidRPr="006940C8">
        <w:rPr>
          <w:b/>
          <w:i/>
        </w:rPr>
        <w:t>RRCAreaID</w:t>
      </w:r>
      <w:proofErr w:type="spellEnd"/>
      <w:r w:rsidRPr="006940C8">
        <w:rPr>
          <w:b/>
        </w:rPr>
        <w:t xml:space="preserve"> to enable per validity area configuration</w:t>
      </w:r>
      <w:r w:rsidR="00800E20" w:rsidRPr="006940C8">
        <w:rPr>
          <w:b/>
        </w:rPr>
        <w:t xml:space="preserve">. </w:t>
      </w:r>
    </w:p>
    <w:p w14:paraId="1EE7F71A" w14:textId="2F63D840" w:rsidR="00477A5F" w:rsidRPr="006940C8" w:rsidRDefault="00DF1393">
      <w:pPr>
        <w:ind w:left="1440" w:hanging="1440"/>
        <w:rPr>
          <w:rFonts w:ascii="CG Times (WN)" w:eastAsia="DengXian" w:hAnsi="CG Times (WN)"/>
          <w:b/>
          <w:noProof/>
          <w:lang w:val="en-US"/>
        </w:rPr>
      </w:pPr>
      <w:r w:rsidRPr="006940C8">
        <w:rPr>
          <w:rFonts w:ascii="CG Times (WN)" w:eastAsia="DengXian" w:hAnsi="CG Times (WN)"/>
          <w:b/>
          <w:noProof/>
          <w:lang w:val="en-US"/>
        </w:rPr>
        <w:t xml:space="preserve">Proposal 3 </w:t>
      </w:r>
      <w:r w:rsidR="00800E20" w:rsidRPr="006940C8">
        <w:rPr>
          <w:rFonts w:ascii="CG Times (WN)" w:eastAsia="DengXian" w:hAnsi="CG Times (WN)"/>
          <w:b/>
          <w:noProof/>
          <w:lang w:val="en-US"/>
        </w:rPr>
        <w:t xml:space="preserve">      </w:t>
      </w:r>
      <w:r w:rsidR="00800E20" w:rsidRPr="006940C8">
        <w:rPr>
          <w:b/>
        </w:rPr>
        <w:t xml:space="preserve">The </w:t>
      </w:r>
      <w:proofErr w:type="spellStart"/>
      <w:r w:rsidR="00800E20" w:rsidRPr="006940C8">
        <w:rPr>
          <w:b/>
          <w:i/>
        </w:rPr>
        <w:t>RRCAreaID</w:t>
      </w:r>
      <w:proofErr w:type="spellEnd"/>
      <w:r w:rsidR="00800E20" w:rsidRPr="006940C8">
        <w:rPr>
          <w:b/>
        </w:rPr>
        <w:t xml:space="preserve"> is unique per specific UE. </w:t>
      </w:r>
    </w:p>
    <w:p w14:paraId="036C1E2C" w14:textId="77777777" w:rsidR="00E05103" w:rsidRPr="00CE0424" w:rsidRDefault="00E05103" w:rsidP="00E05103">
      <w:pPr>
        <w:pStyle w:val="Heading1"/>
      </w:pPr>
      <w:r w:rsidRPr="00CE0424">
        <w:t>References</w:t>
      </w:r>
    </w:p>
    <w:bookmarkEnd w:id="1"/>
    <w:p w14:paraId="5430217E" w14:textId="2B7BBC52" w:rsidR="003D3246" w:rsidRPr="003D3246" w:rsidRDefault="003D3246" w:rsidP="003D3246">
      <w:pPr>
        <w:rPr>
          <w:lang w:val="en-US"/>
        </w:rPr>
      </w:pPr>
    </w:p>
    <w:sectPr w:rsidR="003D3246" w:rsidRPr="003D3246">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F72E8" w14:textId="77777777" w:rsidR="006F134B" w:rsidRDefault="006F134B">
      <w:pPr>
        <w:spacing w:after="0"/>
      </w:pPr>
      <w:r>
        <w:separator/>
      </w:r>
    </w:p>
  </w:endnote>
  <w:endnote w:type="continuationSeparator" w:id="0">
    <w:p w14:paraId="0C29F10B" w14:textId="77777777" w:rsidR="006F134B" w:rsidRDefault="006F134B">
      <w:pPr>
        <w:spacing w:after="0"/>
      </w:pPr>
      <w:r>
        <w:continuationSeparator/>
      </w:r>
    </w:p>
  </w:endnote>
  <w:endnote w:type="continuationNotice" w:id="1">
    <w:p w14:paraId="638EBFD1" w14:textId="77777777" w:rsidR="006F134B" w:rsidRDefault="006F1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7CF8" w14:textId="77777777" w:rsidR="002F72EC" w:rsidRDefault="006127BF" w:rsidP="002F72E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BD1A2" w14:textId="77777777" w:rsidR="006F134B" w:rsidRDefault="006F134B">
      <w:pPr>
        <w:spacing w:after="0"/>
      </w:pPr>
      <w:r>
        <w:separator/>
      </w:r>
    </w:p>
  </w:footnote>
  <w:footnote w:type="continuationSeparator" w:id="0">
    <w:p w14:paraId="728EFF62" w14:textId="77777777" w:rsidR="006F134B" w:rsidRDefault="006F134B">
      <w:pPr>
        <w:spacing w:after="0"/>
      </w:pPr>
      <w:r>
        <w:continuationSeparator/>
      </w:r>
    </w:p>
  </w:footnote>
  <w:footnote w:type="continuationNotice" w:id="1">
    <w:p w14:paraId="522B63B5" w14:textId="77777777" w:rsidR="006F134B" w:rsidRDefault="006F13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1B305" w14:textId="77777777" w:rsidR="002F72EC" w:rsidRDefault="006127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5D69CDC" w14:paraId="1CEB0012" w14:textId="77777777" w:rsidTr="05D69CDC">
      <w:tc>
        <w:tcPr>
          <w:tcW w:w="3213" w:type="dxa"/>
        </w:tcPr>
        <w:p w14:paraId="076038B7" w14:textId="5670049C" w:rsidR="05D69CDC" w:rsidRDefault="05D69CDC" w:rsidP="05D69CDC">
          <w:pPr>
            <w:pStyle w:val="Header"/>
            <w:ind w:left="-115"/>
            <w:jc w:val="left"/>
          </w:pPr>
        </w:p>
      </w:tc>
      <w:tc>
        <w:tcPr>
          <w:tcW w:w="3213" w:type="dxa"/>
        </w:tcPr>
        <w:p w14:paraId="75CBEB32" w14:textId="37D122F1" w:rsidR="05D69CDC" w:rsidRDefault="05D69CDC" w:rsidP="05D69CDC">
          <w:pPr>
            <w:pStyle w:val="Header"/>
            <w:jc w:val="center"/>
          </w:pPr>
        </w:p>
      </w:tc>
      <w:tc>
        <w:tcPr>
          <w:tcW w:w="3213" w:type="dxa"/>
        </w:tcPr>
        <w:p w14:paraId="0B64B035" w14:textId="5D8887E0" w:rsidR="05D69CDC" w:rsidRDefault="05D69CDC" w:rsidP="05D69CDC">
          <w:pPr>
            <w:pStyle w:val="Header"/>
            <w:ind w:right="-115"/>
            <w:jc w:val="right"/>
          </w:pPr>
        </w:p>
      </w:tc>
    </w:tr>
  </w:tbl>
  <w:p w14:paraId="5E1C3ED4" w14:textId="5BBCD9D8" w:rsidR="05D69CDC" w:rsidRDefault="05D69CDC" w:rsidP="05D69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Move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103"/>
    <w:rsid w:val="000003FD"/>
    <w:rsid w:val="00011295"/>
    <w:rsid w:val="00013548"/>
    <w:rsid w:val="00017CAE"/>
    <w:rsid w:val="00035878"/>
    <w:rsid w:val="00036DA6"/>
    <w:rsid w:val="00037045"/>
    <w:rsid w:val="0004438F"/>
    <w:rsid w:val="00063171"/>
    <w:rsid w:val="000631F2"/>
    <w:rsid w:val="000669D2"/>
    <w:rsid w:val="0007170B"/>
    <w:rsid w:val="000741C4"/>
    <w:rsid w:val="0007664C"/>
    <w:rsid w:val="00083CBE"/>
    <w:rsid w:val="00086DFE"/>
    <w:rsid w:val="00092EBD"/>
    <w:rsid w:val="000B0254"/>
    <w:rsid w:val="000C22BC"/>
    <w:rsid w:val="000C5503"/>
    <w:rsid w:val="000D7035"/>
    <w:rsid w:val="000E6E9A"/>
    <w:rsid w:val="000F5B0A"/>
    <w:rsid w:val="00120F0A"/>
    <w:rsid w:val="001275B1"/>
    <w:rsid w:val="00145C99"/>
    <w:rsid w:val="0018457B"/>
    <w:rsid w:val="00197846"/>
    <w:rsid w:val="001A353E"/>
    <w:rsid w:val="001B6AA0"/>
    <w:rsid w:val="001B6C59"/>
    <w:rsid w:val="001C39D8"/>
    <w:rsid w:val="001C420E"/>
    <w:rsid w:val="001C7B42"/>
    <w:rsid w:val="001E4873"/>
    <w:rsid w:val="001E739E"/>
    <w:rsid w:val="001F3E65"/>
    <w:rsid w:val="001F4FAA"/>
    <w:rsid w:val="00204F60"/>
    <w:rsid w:val="00213E98"/>
    <w:rsid w:val="00217D7B"/>
    <w:rsid w:val="002246D1"/>
    <w:rsid w:val="00237780"/>
    <w:rsid w:val="00247A8A"/>
    <w:rsid w:val="002554B2"/>
    <w:rsid w:val="002749F4"/>
    <w:rsid w:val="0029058D"/>
    <w:rsid w:val="0029117A"/>
    <w:rsid w:val="0029569D"/>
    <w:rsid w:val="002A34C1"/>
    <w:rsid w:val="002A3D1C"/>
    <w:rsid w:val="002A532E"/>
    <w:rsid w:val="002B3F5E"/>
    <w:rsid w:val="002D27DF"/>
    <w:rsid w:val="002E71CF"/>
    <w:rsid w:val="002F50E9"/>
    <w:rsid w:val="002F5F7F"/>
    <w:rsid w:val="002F72EC"/>
    <w:rsid w:val="00302C7F"/>
    <w:rsid w:val="00307FD6"/>
    <w:rsid w:val="00320695"/>
    <w:rsid w:val="00334143"/>
    <w:rsid w:val="003342C2"/>
    <w:rsid w:val="00351963"/>
    <w:rsid w:val="00372589"/>
    <w:rsid w:val="00392DC0"/>
    <w:rsid w:val="00393488"/>
    <w:rsid w:val="003A08B3"/>
    <w:rsid w:val="003A1413"/>
    <w:rsid w:val="003A2504"/>
    <w:rsid w:val="003A4451"/>
    <w:rsid w:val="003C479F"/>
    <w:rsid w:val="003D2F5E"/>
    <w:rsid w:val="003D3246"/>
    <w:rsid w:val="003D491C"/>
    <w:rsid w:val="003E5788"/>
    <w:rsid w:val="003E61C8"/>
    <w:rsid w:val="003F5CDC"/>
    <w:rsid w:val="0042078A"/>
    <w:rsid w:val="004226C0"/>
    <w:rsid w:val="00424934"/>
    <w:rsid w:val="004362A5"/>
    <w:rsid w:val="0044300B"/>
    <w:rsid w:val="00456B29"/>
    <w:rsid w:val="00464575"/>
    <w:rsid w:val="00477A5F"/>
    <w:rsid w:val="00494060"/>
    <w:rsid w:val="004A2B43"/>
    <w:rsid w:val="004A43C1"/>
    <w:rsid w:val="004B1857"/>
    <w:rsid w:val="004B1D5E"/>
    <w:rsid w:val="005036DC"/>
    <w:rsid w:val="00503A1B"/>
    <w:rsid w:val="005125C8"/>
    <w:rsid w:val="00521846"/>
    <w:rsid w:val="0054579A"/>
    <w:rsid w:val="0056666E"/>
    <w:rsid w:val="00571A0C"/>
    <w:rsid w:val="00575A17"/>
    <w:rsid w:val="00594185"/>
    <w:rsid w:val="005B05DF"/>
    <w:rsid w:val="005C0762"/>
    <w:rsid w:val="005D25F9"/>
    <w:rsid w:val="005D524F"/>
    <w:rsid w:val="005E3FDC"/>
    <w:rsid w:val="005F32A8"/>
    <w:rsid w:val="006038B2"/>
    <w:rsid w:val="00605A60"/>
    <w:rsid w:val="00611BFB"/>
    <w:rsid w:val="006127BF"/>
    <w:rsid w:val="00615B41"/>
    <w:rsid w:val="006222F5"/>
    <w:rsid w:val="00623F63"/>
    <w:rsid w:val="00630D52"/>
    <w:rsid w:val="00634240"/>
    <w:rsid w:val="0063691D"/>
    <w:rsid w:val="0066444C"/>
    <w:rsid w:val="00672A66"/>
    <w:rsid w:val="00672C59"/>
    <w:rsid w:val="006850D6"/>
    <w:rsid w:val="006940C8"/>
    <w:rsid w:val="006A167E"/>
    <w:rsid w:val="006A5152"/>
    <w:rsid w:val="006B6CE1"/>
    <w:rsid w:val="006B752D"/>
    <w:rsid w:val="006C1C25"/>
    <w:rsid w:val="006C5C63"/>
    <w:rsid w:val="006C7453"/>
    <w:rsid w:val="006F134B"/>
    <w:rsid w:val="007003E7"/>
    <w:rsid w:val="00716CF1"/>
    <w:rsid w:val="007206D9"/>
    <w:rsid w:val="0072468E"/>
    <w:rsid w:val="007374FE"/>
    <w:rsid w:val="007461BE"/>
    <w:rsid w:val="00762A8C"/>
    <w:rsid w:val="00762E44"/>
    <w:rsid w:val="00774B74"/>
    <w:rsid w:val="00775B24"/>
    <w:rsid w:val="007873DF"/>
    <w:rsid w:val="00791656"/>
    <w:rsid w:val="007A339E"/>
    <w:rsid w:val="007B2B3A"/>
    <w:rsid w:val="007B342E"/>
    <w:rsid w:val="007B5519"/>
    <w:rsid w:val="007C0235"/>
    <w:rsid w:val="007C2B50"/>
    <w:rsid w:val="007D58DE"/>
    <w:rsid w:val="007D791D"/>
    <w:rsid w:val="00800E20"/>
    <w:rsid w:val="008335A5"/>
    <w:rsid w:val="00841B7D"/>
    <w:rsid w:val="008501DF"/>
    <w:rsid w:val="0085748B"/>
    <w:rsid w:val="008701FC"/>
    <w:rsid w:val="0088275D"/>
    <w:rsid w:val="008827D6"/>
    <w:rsid w:val="00886BF6"/>
    <w:rsid w:val="00897F6D"/>
    <w:rsid w:val="008A1C65"/>
    <w:rsid w:val="008B30B2"/>
    <w:rsid w:val="008B73EA"/>
    <w:rsid w:val="008C6C17"/>
    <w:rsid w:val="008D2D4E"/>
    <w:rsid w:val="008E7B30"/>
    <w:rsid w:val="00900A90"/>
    <w:rsid w:val="00900BA9"/>
    <w:rsid w:val="00905E65"/>
    <w:rsid w:val="0090614A"/>
    <w:rsid w:val="00906B4F"/>
    <w:rsid w:val="00907DDC"/>
    <w:rsid w:val="0092108C"/>
    <w:rsid w:val="0092372A"/>
    <w:rsid w:val="009353A4"/>
    <w:rsid w:val="009419C8"/>
    <w:rsid w:val="00941BF7"/>
    <w:rsid w:val="0094724E"/>
    <w:rsid w:val="00947C62"/>
    <w:rsid w:val="009521E2"/>
    <w:rsid w:val="00954B0C"/>
    <w:rsid w:val="00962264"/>
    <w:rsid w:val="00976136"/>
    <w:rsid w:val="009B1000"/>
    <w:rsid w:val="009C188A"/>
    <w:rsid w:val="009E5DDF"/>
    <w:rsid w:val="009E7120"/>
    <w:rsid w:val="00A045CF"/>
    <w:rsid w:val="00A1103F"/>
    <w:rsid w:val="00A1107C"/>
    <w:rsid w:val="00A11A9E"/>
    <w:rsid w:val="00A206E1"/>
    <w:rsid w:val="00A2396C"/>
    <w:rsid w:val="00A31EE9"/>
    <w:rsid w:val="00A34127"/>
    <w:rsid w:val="00A40A38"/>
    <w:rsid w:val="00A50009"/>
    <w:rsid w:val="00A509D4"/>
    <w:rsid w:val="00A50ABB"/>
    <w:rsid w:val="00A609BD"/>
    <w:rsid w:val="00A65BCC"/>
    <w:rsid w:val="00A709CF"/>
    <w:rsid w:val="00A731E7"/>
    <w:rsid w:val="00A73A76"/>
    <w:rsid w:val="00A91C4F"/>
    <w:rsid w:val="00A94F32"/>
    <w:rsid w:val="00AA4382"/>
    <w:rsid w:val="00AA7F94"/>
    <w:rsid w:val="00AB0E53"/>
    <w:rsid w:val="00AB7A5A"/>
    <w:rsid w:val="00AD3894"/>
    <w:rsid w:val="00AD5959"/>
    <w:rsid w:val="00AE5297"/>
    <w:rsid w:val="00AE70DA"/>
    <w:rsid w:val="00AF4A7D"/>
    <w:rsid w:val="00B15B17"/>
    <w:rsid w:val="00B227B1"/>
    <w:rsid w:val="00B252CB"/>
    <w:rsid w:val="00B35ACF"/>
    <w:rsid w:val="00B41821"/>
    <w:rsid w:val="00B514F7"/>
    <w:rsid w:val="00B52559"/>
    <w:rsid w:val="00B546D6"/>
    <w:rsid w:val="00B600FD"/>
    <w:rsid w:val="00B648E0"/>
    <w:rsid w:val="00B65C4D"/>
    <w:rsid w:val="00B7408B"/>
    <w:rsid w:val="00B82F6F"/>
    <w:rsid w:val="00B90A88"/>
    <w:rsid w:val="00B94862"/>
    <w:rsid w:val="00BB1D6F"/>
    <w:rsid w:val="00BC178C"/>
    <w:rsid w:val="00BC5980"/>
    <w:rsid w:val="00BE38AE"/>
    <w:rsid w:val="00BF1D6B"/>
    <w:rsid w:val="00BF7112"/>
    <w:rsid w:val="00C03FA9"/>
    <w:rsid w:val="00C06589"/>
    <w:rsid w:val="00C10C5E"/>
    <w:rsid w:val="00C11654"/>
    <w:rsid w:val="00C1748C"/>
    <w:rsid w:val="00C22B6D"/>
    <w:rsid w:val="00C2317E"/>
    <w:rsid w:val="00C24E83"/>
    <w:rsid w:val="00C267C8"/>
    <w:rsid w:val="00C41337"/>
    <w:rsid w:val="00C53A3A"/>
    <w:rsid w:val="00C54124"/>
    <w:rsid w:val="00C65E0C"/>
    <w:rsid w:val="00C813B8"/>
    <w:rsid w:val="00C90899"/>
    <w:rsid w:val="00CA7B73"/>
    <w:rsid w:val="00CB1835"/>
    <w:rsid w:val="00CC1DCF"/>
    <w:rsid w:val="00CC372B"/>
    <w:rsid w:val="00CC6244"/>
    <w:rsid w:val="00CC6852"/>
    <w:rsid w:val="00CE1D0B"/>
    <w:rsid w:val="00D04778"/>
    <w:rsid w:val="00D13D39"/>
    <w:rsid w:val="00D25A9A"/>
    <w:rsid w:val="00D3044F"/>
    <w:rsid w:val="00D3549E"/>
    <w:rsid w:val="00D407D4"/>
    <w:rsid w:val="00D4590A"/>
    <w:rsid w:val="00D47CD6"/>
    <w:rsid w:val="00D761B2"/>
    <w:rsid w:val="00D9189E"/>
    <w:rsid w:val="00DB4320"/>
    <w:rsid w:val="00DC096D"/>
    <w:rsid w:val="00DD0A50"/>
    <w:rsid w:val="00DD596E"/>
    <w:rsid w:val="00DE0ACE"/>
    <w:rsid w:val="00DE69C8"/>
    <w:rsid w:val="00DF1393"/>
    <w:rsid w:val="00DF25A3"/>
    <w:rsid w:val="00DF67C6"/>
    <w:rsid w:val="00E00267"/>
    <w:rsid w:val="00E05103"/>
    <w:rsid w:val="00E13825"/>
    <w:rsid w:val="00E37439"/>
    <w:rsid w:val="00E516D2"/>
    <w:rsid w:val="00E54656"/>
    <w:rsid w:val="00E604B5"/>
    <w:rsid w:val="00E60624"/>
    <w:rsid w:val="00E652CC"/>
    <w:rsid w:val="00E84B57"/>
    <w:rsid w:val="00E94F7F"/>
    <w:rsid w:val="00E97CDB"/>
    <w:rsid w:val="00EA29E5"/>
    <w:rsid w:val="00EA3E5F"/>
    <w:rsid w:val="00EA44FD"/>
    <w:rsid w:val="00EA68D8"/>
    <w:rsid w:val="00EB1053"/>
    <w:rsid w:val="00EB4E3D"/>
    <w:rsid w:val="00ED2749"/>
    <w:rsid w:val="00EE3B61"/>
    <w:rsid w:val="00EE4BA4"/>
    <w:rsid w:val="00EE717C"/>
    <w:rsid w:val="00EF3AF4"/>
    <w:rsid w:val="00F152FA"/>
    <w:rsid w:val="00F153BC"/>
    <w:rsid w:val="00F17D41"/>
    <w:rsid w:val="00F23874"/>
    <w:rsid w:val="00F32D6F"/>
    <w:rsid w:val="00F441FB"/>
    <w:rsid w:val="00F45259"/>
    <w:rsid w:val="00F52D01"/>
    <w:rsid w:val="00F55814"/>
    <w:rsid w:val="00F60AD9"/>
    <w:rsid w:val="00F60AE4"/>
    <w:rsid w:val="00F60EC7"/>
    <w:rsid w:val="00F6363F"/>
    <w:rsid w:val="00F758A9"/>
    <w:rsid w:val="00F81030"/>
    <w:rsid w:val="00F853AE"/>
    <w:rsid w:val="00FA1060"/>
    <w:rsid w:val="00FA3E43"/>
    <w:rsid w:val="00FA6B2C"/>
    <w:rsid w:val="00FC1B6C"/>
    <w:rsid w:val="00FD5D3E"/>
    <w:rsid w:val="00FE024A"/>
    <w:rsid w:val="00FE3C2E"/>
    <w:rsid w:val="00FE4514"/>
    <w:rsid w:val="00FE4996"/>
    <w:rsid w:val="00FE5E27"/>
    <w:rsid w:val="00FE6E59"/>
    <w:rsid w:val="00FE76CE"/>
    <w:rsid w:val="00FF79E9"/>
    <w:rsid w:val="05D69CD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BE8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03"/>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
    <w:next w:val="Normal"/>
    <w:link w:val="Heading1Char"/>
    <w:qFormat/>
    <w:rsid w:val="00E051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E0510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E051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E05103"/>
    <w:pPr>
      <w:numPr>
        <w:ilvl w:val="3"/>
      </w:numPr>
      <w:outlineLvl w:val="3"/>
    </w:pPr>
    <w:rPr>
      <w:sz w:val="24"/>
      <w:szCs w:val="24"/>
    </w:rPr>
  </w:style>
  <w:style w:type="paragraph" w:styleId="Heading5">
    <w:name w:val="heading 5"/>
    <w:basedOn w:val="Heading4"/>
    <w:next w:val="Normal"/>
    <w:link w:val="Heading5Char"/>
    <w:qFormat/>
    <w:rsid w:val="00E05103"/>
    <w:pPr>
      <w:numPr>
        <w:ilvl w:val="4"/>
      </w:numPr>
      <w:outlineLvl w:val="4"/>
    </w:pPr>
    <w:rPr>
      <w:sz w:val="22"/>
      <w:szCs w:val="22"/>
    </w:rPr>
  </w:style>
  <w:style w:type="paragraph" w:styleId="Heading6">
    <w:name w:val="heading 6"/>
    <w:basedOn w:val="Normal"/>
    <w:next w:val="Normal"/>
    <w:link w:val="Heading6Char"/>
    <w:qFormat/>
    <w:rsid w:val="00E0510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0510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05103"/>
    <w:pPr>
      <w:numPr>
        <w:ilvl w:val="7"/>
      </w:numPr>
      <w:outlineLvl w:val="7"/>
    </w:pPr>
  </w:style>
  <w:style w:type="paragraph" w:styleId="Heading9">
    <w:name w:val="heading 9"/>
    <w:basedOn w:val="Heading8"/>
    <w:next w:val="Normal"/>
    <w:link w:val="Heading9Char"/>
    <w:qFormat/>
    <w:rsid w:val="00E051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05103"/>
    <w:rPr>
      <w:rFonts w:ascii="Arial" w:eastAsia="Times New Roman" w:hAnsi="Arial" w:cs="Arial"/>
      <w:sz w:val="36"/>
      <w:szCs w:val="36"/>
      <w:lang w:val="en-GB" w:eastAsia="zh-C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05103"/>
    <w:rPr>
      <w:rFonts w:ascii="Arial" w:eastAsia="Times New Roman" w:hAnsi="Arial" w:cs="Arial"/>
      <w:sz w:val="32"/>
      <w:szCs w:val="32"/>
      <w:lang w:val="en-GB" w:eastAsia="zh-CN"/>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E0510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5103"/>
    <w:rPr>
      <w:rFonts w:ascii="Arial" w:eastAsia="Times New Roman" w:hAnsi="Arial" w:cs="Arial"/>
      <w:sz w:val="24"/>
      <w:szCs w:val="24"/>
      <w:lang w:val="en-GB" w:eastAsia="zh-CN"/>
    </w:rPr>
  </w:style>
  <w:style w:type="character" w:customStyle="1" w:styleId="Heading5Char">
    <w:name w:val="Heading 5 Char"/>
    <w:link w:val="Heading5"/>
    <w:rsid w:val="00E05103"/>
    <w:rPr>
      <w:rFonts w:ascii="Arial" w:eastAsia="Times New Roman" w:hAnsi="Arial" w:cs="Arial"/>
      <w:lang w:val="en-GB" w:eastAsia="zh-CN"/>
    </w:rPr>
  </w:style>
  <w:style w:type="character" w:customStyle="1" w:styleId="Heading6Char">
    <w:name w:val="Heading 6 Char"/>
    <w:link w:val="Heading6"/>
    <w:rsid w:val="00E05103"/>
    <w:rPr>
      <w:rFonts w:ascii="Arial" w:eastAsia="Times New Roman" w:hAnsi="Arial" w:cs="Arial"/>
      <w:sz w:val="20"/>
      <w:szCs w:val="20"/>
      <w:lang w:val="en-GB" w:eastAsia="zh-CN"/>
    </w:rPr>
  </w:style>
  <w:style w:type="character" w:customStyle="1" w:styleId="Heading7Char">
    <w:name w:val="Heading 7 Char"/>
    <w:link w:val="Heading7"/>
    <w:rsid w:val="00E05103"/>
    <w:rPr>
      <w:rFonts w:ascii="Arial" w:eastAsia="Times New Roman" w:hAnsi="Arial" w:cs="Arial"/>
      <w:sz w:val="20"/>
      <w:szCs w:val="20"/>
      <w:lang w:val="en-GB" w:eastAsia="zh-CN"/>
    </w:rPr>
  </w:style>
  <w:style w:type="character" w:customStyle="1" w:styleId="Heading8Char">
    <w:name w:val="Heading 8 Char"/>
    <w:link w:val="Heading8"/>
    <w:rsid w:val="00E05103"/>
    <w:rPr>
      <w:rFonts w:ascii="Arial" w:eastAsia="Times New Roman" w:hAnsi="Arial" w:cs="Arial"/>
      <w:sz w:val="20"/>
      <w:szCs w:val="20"/>
      <w:lang w:val="en-GB" w:eastAsia="zh-CN"/>
    </w:rPr>
  </w:style>
  <w:style w:type="character" w:customStyle="1" w:styleId="Heading9Char">
    <w:name w:val="Heading 9 Char"/>
    <w:link w:val="Heading9"/>
    <w:rsid w:val="00E05103"/>
    <w:rPr>
      <w:rFonts w:ascii="Arial" w:eastAsia="Times New Roman" w:hAnsi="Arial" w:cs="Arial"/>
      <w:sz w:val="20"/>
      <w:szCs w:val="20"/>
      <w:lang w:val="en-GB" w:eastAsia="zh-CN"/>
    </w:rPr>
  </w:style>
  <w:style w:type="paragraph" w:customStyle="1" w:styleId="3GPPHeader">
    <w:name w:val="3GPP_Header"/>
    <w:basedOn w:val="Normal"/>
    <w:rsid w:val="00E05103"/>
    <w:pPr>
      <w:tabs>
        <w:tab w:val="left" w:pos="1701"/>
        <w:tab w:val="right" w:pos="9639"/>
      </w:tabs>
      <w:spacing w:after="240"/>
    </w:pPr>
    <w:rPr>
      <w:b/>
      <w:sz w:val="24"/>
    </w:rPr>
  </w:style>
  <w:style w:type="paragraph" w:styleId="Footer">
    <w:name w:val="footer"/>
    <w:basedOn w:val="Header"/>
    <w:link w:val="FooterChar"/>
    <w:rsid w:val="00E05103"/>
    <w:pPr>
      <w:widowControl w:val="0"/>
      <w:tabs>
        <w:tab w:val="clear" w:pos="4703"/>
        <w:tab w:val="clear" w:pos="9406"/>
      </w:tabs>
      <w:jc w:val="center"/>
    </w:pPr>
    <w:rPr>
      <w:rFonts w:cs="Arial"/>
      <w:b/>
      <w:bCs/>
      <w:i/>
      <w:iCs/>
      <w:noProof/>
      <w:sz w:val="18"/>
      <w:szCs w:val="18"/>
      <w:lang w:val="en-US"/>
    </w:rPr>
  </w:style>
  <w:style w:type="character" w:customStyle="1" w:styleId="FooterChar">
    <w:name w:val="Footer Char"/>
    <w:link w:val="Footer"/>
    <w:rsid w:val="00E05103"/>
    <w:rPr>
      <w:rFonts w:ascii="Arial" w:eastAsia="Times New Roman" w:hAnsi="Arial" w:cs="Arial"/>
      <w:b/>
      <w:bCs/>
      <w:i/>
      <w:iCs/>
      <w:noProof/>
      <w:sz w:val="18"/>
      <w:szCs w:val="18"/>
      <w:lang w:eastAsia="zh-CN"/>
    </w:rPr>
  </w:style>
  <w:style w:type="paragraph" w:customStyle="1" w:styleId="Reference">
    <w:name w:val="Reference"/>
    <w:basedOn w:val="Normal"/>
    <w:rsid w:val="00E05103"/>
    <w:pPr>
      <w:numPr>
        <w:numId w:val="2"/>
      </w:numPr>
    </w:pPr>
  </w:style>
  <w:style w:type="character" w:styleId="PageNumber">
    <w:name w:val="page number"/>
    <w:rsid w:val="00E0510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0510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05103"/>
    <w:rPr>
      <w:rFonts w:ascii="Arial" w:eastAsia="Times New Roman" w:hAnsi="Arial" w:cs="Times New Roman"/>
      <w:sz w:val="20"/>
      <w:szCs w:val="20"/>
      <w:lang w:val="en-GB" w:eastAsia="zh-CN"/>
    </w:rPr>
  </w:style>
  <w:style w:type="character" w:styleId="CommentReference">
    <w:name w:val="annotation reference"/>
    <w:semiHidden/>
    <w:rsid w:val="00E05103"/>
    <w:rPr>
      <w:sz w:val="16"/>
      <w:szCs w:val="16"/>
    </w:rPr>
  </w:style>
  <w:style w:type="paragraph" w:styleId="CommentText">
    <w:name w:val="annotation text"/>
    <w:basedOn w:val="Normal"/>
    <w:link w:val="CommentTextChar"/>
    <w:rsid w:val="00E05103"/>
  </w:style>
  <w:style w:type="character" w:customStyle="1" w:styleId="CommentTextChar">
    <w:name w:val="Comment Text Char"/>
    <w:link w:val="CommentText"/>
    <w:rsid w:val="00E05103"/>
    <w:rPr>
      <w:rFonts w:ascii="Arial" w:eastAsia="Times New Roman" w:hAnsi="Arial" w:cs="Times New Roman"/>
      <w:sz w:val="20"/>
      <w:szCs w:val="20"/>
      <w:lang w:val="en-GB" w:eastAsia="zh-CN"/>
    </w:rPr>
  </w:style>
  <w:style w:type="paragraph" w:customStyle="1" w:styleId="Proposal">
    <w:name w:val="Proposal"/>
    <w:basedOn w:val="Normal"/>
    <w:qFormat/>
    <w:rsid w:val="00E05103"/>
    <w:pPr>
      <w:numPr>
        <w:numId w:val="3"/>
      </w:numPr>
      <w:tabs>
        <w:tab w:val="left" w:pos="1701"/>
      </w:tabs>
    </w:pPr>
    <w:rPr>
      <w:b/>
      <w:bCs/>
    </w:rPr>
  </w:style>
  <w:style w:type="paragraph" w:customStyle="1" w:styleId="Observation">
    <w:name w:val="Observation"/>
    <w:basedOn w:val="Proposal"/>
    <w:qFormat/>
    <w:rsid w:val="00E05103"/>
    <w:pPr>
      <w:numPr>
        <w:numId w:val="4"/>
      </w:numPr>
      <w:ind w:left="1701" w:hanging="1701"/>
    </w:pPr>
  </w:style>
  <w:style w:type="paragraph" w:customStyle="1" w:styleId="CRCoverPage">
    <w:name w:val="CR Cover Page"/>
    <w:link w:val="CRCoverPageZchn"/>
    <w:rsid w:val="00E05103"/>
    <w:pPr>
      <w:spacing w:after="120"/>
    </w:pPr>
    <w:rPr>
      <w:rFonts w:ascii="Arial" w:eastAsia="DengXian" w:hAnsi="Arial"/>
      <w:lang w:val="en-GB" w:eastAsia="en-US"/>
    </w:rPr>
  </w:style>
  <w:style w:type="character" w:customStyle="1" w:styleId="CRCoverPageZchn">
    <w:name w:val="CR Cover Page Zchn"/>
    <w:link w:val="CRCoverPage"/>
    <w:locked/>
    <w:rsid w:val="00E05103"/>
    <w:rPr>
      <w:rFonts w:ascii="Arial" w:eastAsia="DengXian" w:hAnsi="Arial" w:cs="Times New Roman"/>
      <w:sz w:val="20"/>
      <w:szCs w:val="20"/>
      <w:lang w:val="en-GB"/>
    </w:rPr>
  </w:style>
  <w:style w:type="paragraph" w:styleId="Header">
    <w:name w:val="header"/>
    <w:basedOn w:val="Normal"/>
    <w:link w:val="HeaderChar"/>
    <w:uiPriority w:val="99"/>
    <w:unhideWhenUsed/>
    <w:rsid w:val="00E05103"/>
    <w:pPr>
      <w:tabs>
        <w:tab w:val="center" w:pos="4703"/>
        <w:tab w:val="right" w:pos="9406"/>
      </w:tabs>
      <w:spacing w:after="0"/>
    </w:pPr>
  </w:style>
  <w:style w:type="character" w:customStyle="1" w:styleId="HeaderChar">
    <w:name w:val="Header Char"/>
    <w:link w:val="Header"/>
    <w:uiPriority w:val="99"/>
    <w:rsid w:val="00E0510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E05103"/>
    <w:pPr>
      <w:spacing w:after="0"/>
    </w:pPr>
    <w:rPr>
      <w:rFonts w:ascii="Segoe UI" w:hAnsi="Segoe UI" w:cs="Segoe UI"/>
      <w:sz w:val="18"/>
      <w:szCs w:val="18"/>
    </w:rPr>
  </w:style>
  <w:style w:type="character" w:customStyle="1" w:styleId="BalloonTextChar">
    <w:name w:val="Balloon Text Char"/>
    <w:link w:val="BalloonText"/>
    <w:uiPriority w:val="99"/>
    <w:semiHidden/>
    <w:rsid w:val="00E05103"/>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E61C8"/>
    <w:rPr>
      <w:b/>
      <w:bCs/>
    </w:rPr>
  </w:style>
  <w:style w:type="character" w:customStyle="1" w:styleId="CommentSubjectChar">
    <w:name w:val="Comment Subject Char"/>
    <w:link w:val="CommentSubject"/>
    <w:uiPriority w:val="99"/>
    <w:semiHidden/>
    <w:rsid w:val="003E61C8"/>
    <w:rPr>
      <w:rFonts w:ascii="Arial" w:eastAsia="Times New Roman" w:hAnsi="Arial" w:cs="Times New Roman"/>
      <w:b/>
      <w:bCs/>
      <w:sz w:val="20"/>
      <w:szCs w:val="20"/>
      <w:lang w:val="en-GB" w:eastAsia="zh-CN"/>
    </w:rPr>
  </w:style>
  <w:style w:type="paragraph" w:styleId="TOC1">
    <w:name w:val="toc 1"/>
    <w:aliases w:val="Observation TOC2"/>
    <w:autoRedefine/>
    <w:uiPriority w:val="39"/>
    <w:unhideWhenUsed/>
    <w:rsid w:val="00A609BD"/>
    <w:pPr>
      <w:keepNext/>
      <w:keepLines/>
      <w:widowControl w:val="0"/>
      <w:tabs>
        <w:tab w:val="left" w:pos="1701"/>
      </w:tabs>
      <w:overflowPunct w:val="0"/>
      <w:autoSpaceDE w:val="0"/>
      <w:autoSpaceDN w:val="0"/>
      <w:adjustRightInd w:val="0"/>
      <w:spacing w:before="120"/>
      <w:ind w:left="1701" w:hanging="1701"/>
    </w:pPr>
    <w:rPr>
      <w:rFonts w:ascii="Arial" w:eastAsia="Times New Roman" w:hAnsi="Arial"/>
      <w:b/>
      <w:noProof/>
      <w:szCs w:val="22"/>
      <w:lang w:val="en-US" w:eastAsia="zh-CN"/>
    </w:rPr>
  </w:style>
  <w:style w:type="table" w:styleId="TableGrid">
    <w:name w:val="Table Grid"/>
    <w:basedOn w:val="TableNormal"/>
    <w:uiPriority w:val="39"/>
    <w:rsid w:val="00B418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091838">
      <w:bodyDiv w:val="1"/>
      <w:marLeft w:val="0"/>
      <w:marRight w:val="0"/>
      <w:marTop w:val="0"/>
      <w:marBottom w:val="0"/>
      <w:divBdr>
        <w:top w:val="none" w:sz="0" w:space="0" w:color="auto"/>
        <w:left w:val="none" w:sz="0" w:space="0" w:color="auto"/>
        <w:bottom w:val="none" w:sz="0" w:space="0" w:color="auto"/>
        <w:right w:val="none" w:sz="0" w:space="0" w:color="auto"/>
      </w:divBdr>
    </w:div>
    <w:div w:id="1057314021">
      <w:bodyDiv w:val="1"/>
      <w:marLeft w:val="0"/>
      <w:marRight w:val="0"/>
      <w:marTop w:val="0"/>
      <w:marBottom w:val="0"/>
      <w:divBdr>
        <w:top w:val="none" w:sz="0" w:space="0" w:color="auto"/>
        <w:left w:val="none" w:sz="0" w:space="0" w:color="auto"/>
        <w:bottom w:val="none" w:sz="0" w:space="0" w:color="auto"/>
        <w:right w:val="none" w:sz="0" w:space="0" w:color="auto"/>
      </w:divBdr>
    </w:div>
    <w:div w:id="1416316281">
      <w:bodyDiv w:val="1"/>
      <w:marLeft w:val="0"/>
      <w:marRight w:val="0"/>
      <w:marTop w:val="0"/>
      <w:marBottom w:val="0"/>
      <w:divBdr>
        <w:top w:val="none" w:sz="0" w:space="0" w:color="auto"/>
        <w:left w:val="none" w:sz="0" w:space="0" w:color="auto"/>
        <w:bottom w:val="none" w:sz="0" w:space="0" w:color="auto"/>
        <w:right w:val="none" w:sz="0" w:space="0" w:color="auto"/>
      </w:divBdr>
    </w:div>
    <w:div w:id="1658538090">
      <w:bodyDiv w:val="1"/>
      <w:marLeft w:val="0"/>
      <w:marRight w:val="0"/>
      <w:marTop w:val="0"/>
      <w:marBottom w:val="0"/>
      <w:divBdr>
        <w:top w:val="none" w:sz="0" w:space="0" w:color="auto"/>
        <w:left w:val="none" w:sz="0" w:space="0" w:color="auto"/>
        <w:bottom w:val="none" w:sz="0" w:space="0" w:color="auto"/>
        <w:right w:val="none" w:sz="0" w:space="0" w:color="auto"/>
      </w:divBdr>
    </w:div>
    <w:div w:id="210260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BC0E9-E19B-4194-B29F-B9C253906773}"/>
</file>

<file path=customXml/itemProps2.xml><?xml version="1.0" encoding="utf-8"?>
<ds:datastoreItem xmlns:ds="http://schemas.openxmlformats.org/officeDocument/2006/customXml" ds:itemID="{64A31658-3D8E-454A-8E2B-D10A61FA4CF4}">
  <ds:schemaRefs>
    <ds:schemaRef ds:uri="http://schemas.microsoft.com/sharepoint/v3/contenttype/forms"/>
  </ds:schemaRefs>
</ds:datastoreItem>
</file>

<file path=customXml/itemProps3.xml><?xml version="1.0" encoding="utf-8"?>
<ds:datastoreItem xmlns:ds="http://schemas.openxmlformats.org/officeDocument/2006/customXml" ds:itemID="{E850676F-BC81-4FD4-9DB0-E33E35820F3F}">
  <ds:schemaRefs>
    <ds:schemaRef ds:uri="http://schemas.microsoft.com/office/2006/metadata/longProperties"/>
  </ds:schemaRefs>
</ds:datastoreItem>
</file>

<file path=customXml/itemProps4.xml><?xml version="1.0" encoding="utf-8"?>
<ds:datastoreItem xmlns:ds="http://schemas.openxmlformats.org/officeDocument/2006/customXml" ds:itemID="{3B9EF91F-E873-4352-AF81-5DA2A6586AC1}">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5.xml><?xml version="1.0" encoding="utf-8"?>
<ds:datastoreItem xmlns:ds="http://schemas.openxmlformats.org/officeDocument/2006/customXml" ds:itemID="{5F0FA529-E619-4201-8B29-0C59D7081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4638</Characters>
  <Application>Microsoft Office Word</Application>
  <DocSecurity>0</DocSecurity>
  <Lines>38</Lines>
  <Paragraphs>11</Paragraphs>
  <ScaleCrop>false</ScaleCrop>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2019-02-14T22:36:00Z</dcterms:created>
  <dcterms:modified xsi:type="dcterms:W3CDTF">2019-08-15T13:07:00Z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3123200</vt:r8>
  </property>
  <property fmtid="{D5CDD505-2E9C-101B-9397-08002B2CF9AE}" pid="4" name="AuthorIds_UIVersion_7680">
    <vt:lpwstr>41</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158a9e00-3355-4f82-b387-bf94da6e9f95</vt:lpwstr>
  </property>
</Properties>
</file>